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617F56A4"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5E6E84">
        <w:rPr>
          <w:rFonts w:ascii="Times New Roman" w:hAnsi="Times New Roman" w:cs="Times New Roman"/>
          <w:b/>
          <w:bCs/>
          <w:sz w:val="24"/>
          <w:szCs w:val="24"/>
        </w:rPr>
        <w:t>KEGO</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26FDF857"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r w:rsidR="005E6E84">
              <w:rPr>
                <w:rFonts w:ascii="Times New Roman" w:hAnsi="Times New Roman" w:cs="Times New Roman"/>
                <w:sz w:val="24"/>
                <w:szCs w:val="24"/>
              </w:rPr>
              <w:t>KEGO</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C9577D" w:rsidRPr="00C9577D">
              <w:rPr>
                <w:rFonts w:ascii="Times New Roman" w:eastAsia="Calibri" w:hAnsi="Times New Roman" w:cs="Times New Roman"/>
                <w:color w:val="000000"/>
                <w:kern w:val="3"/>
                <w:sz w:val="24"/>
                <w:szCs w:val="24"/>
                <w:shd w:val="clear" w:color="auto" w:fill="F9F9F9"/>
                <w14:ligatures w14:val="none"/>
              </w:rPr>
              <w:t>40003517501</w:t>
            </w:r>
            <w:r w:rsidR="00D1335F" w:rsidRPr="003D11EA">
              <w:rPr>
                <w:rFonts w:ascii="Times New Roman" w:hAnsi="Times New Roman" w:cs="Times New Roman"/>
                <w:sz w:val="24"/>
                <w:szCs w:val="24"/>
              </w:rPr>
              <w:t xml:space="preserve">, kapitāldaļas ar kārtas numuriem no </w:t>
            </w:r>
            <w:r w:rsidR="00ED54AC" w:rsidRPr="003D11EA">
              <w:rPr>
                <w:rFonts w:ascii="Times New Roman" w:hAnsi="Times New Roman" w:cs="Times New Roman"/>
                <w:sz w:val="24"/>
                <w:szCs w:val="24"/>
              </w:rPr>
              <w:t xml:space="preserve">1 </w:t>
            </w:r>
            <w:r w:rsidR="00827792" w:rsidRPr="003D11EA">
              <w:rPr>
                <w:rFonts w:ascii="Times New Roman" w:hAnsi="Times New Roman" w:cs="Times New Roman"/>
                <w:sz w:val="24"/>
                <w:szCs w:val="24"/>
              </w:rPr>
              <w:t xml:space="preserve">līdz </w:t>
            </w:r>
            <w:r w:rsidR="00C9577D">
              <w:rPr>
                <w:rFonts w:ascii="Times New Roman" w:hAnsi="Times New Roman" w:cs="Times New Roman"/>
                <w:sz w:val="24"/>
                <w:szCs w:val="24"/>
              </w:rPr>
              <w:t>71286</w:t>
            </w:r>
            <w:r w:rsidR="001B0DCF" w:rsidRPr="003D11EA">
              <w:rPr>
                <w:rFonts w:ascii="Times New Roman" w:hAnsi="Times New Roman" w:cs="Times New Roman"/>
                <w:sz w:val="24"/>
                <w:szCs w:val="24"/>
              </w:rPr>
              <w:t xml:space="preserve">; </w:t>
            </w:r>
          </w:p>
          <w:p w14:paraId="28DABF98" w14:textId="0125750D" w:rsidR="00D1335F" w:rsidRPr="003D11EA"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 xml:space="preserve">likvidētā uzņēmuma </w:t>
            </w:r>
            <w:r w:rsidR="008B6BC4">
              <w:rPr>
                <w:rFonts w:ascii="Times New Roman" w:hAnsi="Times New Roman" w:cs="Times New Roman"/>
                <w:sz w:val="24"/>
                <w:szCs w:val="24"/>
              </w:rPr>
              <w:t>AS</w:t>
            </w:r>
            <w:r w:rsidR="008B6BC4" w:rsidRPr="003D11EA">
              <w:rPr>
                <w:rFonts w:ascii="Times New Roman" w:hAnsi="Times New Roman" w:cs="Times New Roman"/>
                <w:sz w:val="24"/>
                <w:szCs w:val="24"/>
              </w:rPr>
              <w:t xml:space="preserve"> </w:t>
            </w:r>
            <w:r w:rsidR="00C25F16" w:rsidRPr="003D11EA">
              <w:rPr>
                <w:rFonts w:ascii="Times New Roman" w:hAnsi="Times New Roman" w:cs="Times New Roman"/>
                <w:sz w:val="24"/>
                <w:szCs w:val="24"/>
              </w:rPr>
              <w:t>“</w:t>
            </w:r>
            <w:proofErr w:type="spellStart"/>
            <w:r w:rsidR="008B6BC4" w:rsidRPr="001165E9">
              <w:rPr>
                <w:rFonts w:ascii="Times New Roman" w:eastAsia="Aptos" w:hAnsi="Times New Roman"/>
                <w:sz w:val="24"/>
                <w:szCs w:val="24"/>
              </w:rPr>
              <w:t>Residence</w:t>
            </w:r>
            <w:proofErr w:type="spellEnd"/>
            <w:r w:rsidR="008B6BC4" w:rsidRPr="001165E9">
              <w:rPr>
                <w:rFonts w:ascii="Times New Roman" w:eastAsia="Aptos" w:hAnsi="Times New Roman"/>
                <w:sz w:val="24"/>
                <w:szCs w:val="24"/>
              </w:rPr>
              <w:t xml:space="preserve"> </w:t>
            </w:r>
            <w:proofErr w:type="spellStart"/>
            <w:r w:rsidR="008B6BC4" w:rsidRPr="001165E9">
              <w:rPr>
                <w:rFonts w:ascii="Times New Roman" w:eastAsia="Aptos" w:hAnsi="Times New Roman"/>
                <w:sz w:val="24"/>
                <w:szCs w:val="24"/>
              </w:rPr>
              <w:t>Energy</w:t>
            </w:r>
            <w:proofErr w:type="spellEnd"/>
            <w:r w:rsidR="00C25F16" w:rsidRPr="003D11EA">
              <w:rPr>
                <w:rFonts w:ascii="Times New Roman" w:hAnsi="Times New Roman" w:cs="Times New Roman"/>
                <w:sz w:val="24"/>
                <w:szCs w:val="24"/>
              </w:rPr>
              <w:t xml:space="preserve">” kapitāldaļas; izslēgts no UR </w:t>
            </w:r>
            <w:r w:rsidR="008B6BC4">
              <w:rPr>
                <w:rFonts w:ascii="Times New Roman" w:hAnsi="Times New Roman" w:cs="Times New Roman"/>
                <w:sz w:val="24"/>
                <w:szCs w:val="24"/>
              </w:rPr>
              <w:t>16</w:t>
            </w:r>
            <w:r w:rsidR="00616036" w:rsidRPr="003D11EA">
              <w:rPr>
                <w:rFonts w:ascii="Times New Roman" w:hAnsi="Times New Roman" w:cs="Times New Roman"/>
                <w:sz w:val="24"/>
                <w:szCs w:val="24"/>
              </w:rPr>
              <w:t>.</w:t>
            </w:r>
            <w:r w:rsidR="00A6350B" w:rsidRPr="003D11EA">
              <w:rPr>
                <w:rFonts w:ascii="Times New Roman" w:hAnsi="Times New Roman" w:cs="Times New Roman"/>
                <w:sz w:val="24"/>
                <w:szCs w:val="24"/>
              </w:rPr>
              <w:t>0</w:t>
            </w:r>
            <w:r w:rsidR="008B6BC4">
              <w:rPr>
                <w:rFonts w:ascii="Times New Roman" w:hAnsi="Times New Roman" w:cs="Times New Roman"/>
                <w:sz w:val="24"/>
                <w:szCs w:val="24"/>
              </w:rPr>
              <w:t>8</w:t>
            </w:r>
            <w:r w:rsidR="00C150F7" w:rsidRPr="003D11EA">
              <w:rPr>
                <w:rFonts w:ascii="Times New Roman" w:hAnsi="Times New Roman" w:cs="Times New Roman"/>
                <w:sz w:val="24"/>
                <w:szCs w:val="24"/>
              </w:rPr>
              <w:t>.</w:t>
            </w:r>
            <w:r w:rsidR="00A6350B" w:rsidRPr="003D11EA">
              <w:rPr>
                <w:rFonts w:ascii="Times New Roman" w:hAnsi="Times New Roman" w:cs="Times New Roman"/>
                <w:sz w:val="24"/>
                <w:szCs w:val="24"/>
              </w:rPr>
              <w:t>2024</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tc>
        <w:tc>
          <w:tcPr>
            <w:tcW w:w="4113" w:type="dxa"/>
          </w:tcPr>
          <w:p w14:paraId="6AF4EF60" w14:textId="1B3CF6B8" w:rsidR="009503D8" w:rsidRPr="0050713F" w:rsidRDefault="008B6BC4" w:rsidP="0050713F">
            <w:pPr>
              <w:jc w:val="both"/>
              <w:rPr>
                <w:rFonts w:ascii="Times New Roman" w:hAnsi="Times New Roman" w:cs="Times New Roman"/>
                <w:sz w:val="24"/>
                <w:szCs w:val="24"/>
              </w:rPr>
            </w:pPr>
            <w:r>
              <w:rPr>
                <w:rFonts w:ascii="Times New Roman" w:hAnsi="Times New Roman" w:cs="Times New Roman"/>
                <w:sz w:val="24"/>
                <w:szCs w:val="24"/>
              </w:rPr>
              <w:t>71286</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sidR="0074376F" w:rsidRPr="0074376F">
              <w:rPr>
                <w:rFonts w:ascii="Times New Roman" w:eastAsia="Calibri" w:hAnsi="Times New Roman" w:cs="Times New Roman"/>
                <w:kern w:val="3"/>
                <w:sz w:val="24"/>
                <w:szCs w:val="24"/>
                <w14:ligatures w14:val="none"/>
              </w:rPr>
              <w:t>septiņdesmit viens</w:t>
            </w:r>
            <w:r w:rsidR="0074376F" w:rsidRPr="0074376F">
              <w:rPr>
                <w:rFonts w:ascii="Times New Roman" w:eastAsia="Calibri" w:hAnsi="Times New Roman" w:cs="Times New Roman"/>
                <w:kern w:val="3"/>
                <w:sz w:val="24"/>
                <w:szCs w:val="24"/>
                <w14:ligatures w14:val="none"/>
              </w:rPr>
              <w:t xml:space="preserve"> tūksto</w:t>
            </w:r>
            <w:r w:rsidR="0074376F" w:rsidRPr="0074376F">
              <w:rPr>
                <w:rFonts w:ascii="Times New Roman" w:eastAsia="Calibri" w:hAnsi="Times New Roman" w:cs="Times New Roman"/>
                <w:kern w:val="3"/>
                <w:sz w:val="24"/>
                <w:szCs w:val="24"/>
                <w14:ligatures w14:val="none"/>
              </w:rPr>
              <w:t>tis</w:t>
            </w:r>
            <w:r w:rsidR="0074376F" w:rsidRPr="0074376F">
              <w:rPr>
                <w:rFonts w:ascii="Times New Roman" w:eastAsia="Calibri" w:hAnsi="Times New Roman" w:cs="Times New Roman"/>
                <w:kern w:val="3"/>
                <w:sz w:val="24"/>
                <w:szCs w:val="24"/>
                <w14:ligatures w14:val="none"/>
              </w:rPr>
              <w:t xml:space="preserve"> </w:t>
            </w:r>
            <w:r w:rsidR="0074376F" w:rsidRPr="0074376F">
              <w:rPr>
                <w:rFonts w:ascii="Times New Roman" w:eastAsia="Calibri" w:hAnsi="Times New Roman" w:cs="Times New Roman"/>
                <w:kern w:val="3"/>
                <w:sz w:val="24"/>
                <w:szCs w:val="24"/>
                <w14:ligatures w14:val="none"/>
              </w:rPr>
              <w:t>divi</w:t>
            </w:r>
            <w:r w:rsidR="0074376F" w:rsidRPr="0074376F">
              <w:rPr>
                <w:rFonts w:ascii="Times New Roman" w:eastAsia="Calibri" w:hAnsi="Times New Roman" w:cs="Times New Roman"/>
                <w:kern w:val="3"/>
                <w:sz w:val="24"/>
                <w:szCs w:val="24"/>
                <w14:ligatures w14:val="none"/>
              </w:rPr>
              <w:t xml:space="preserve"> </w:t>
            </w:r>
            <w:r w:rsidR="0074376F" w:rsidRPr="0074376F">
              <w:rPr>
                <w:rFonts w:ascii="Times New Roman" w:eastAsia="Calibri" w:hAnsi="Times New Roman" w:cs="Times New Roman"/>
                <w:kern w:val="3"/>
                <w:sz w:val="24"/>
                <w:szCs w:val="24"/>
                <w14:ligatures w14:val="none"/>
              </w:rPr>
              <w:t>simti astoņdesmit sešas</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74376F">
              <w:rPr>
                <w:rFonts w:ascii="Times New Roman" w:hAnsi="Times New Roman" w:cs="Times New Roman"/>
                <w:sz w:val="24"/>
                <w:szCs w:val="24"/>
              </w:rPr>
              <w:t>100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74376F">
              <w:rPr>
                <w:rFonts w:ascii="Times New Roman" w:hAnsi="Times New Roman" w:cs="Times New Roman"/>
                <w:sz w:val="24"/>
                <w:szCs w:val="24"/>
              </w:rPr>
              <w:t>71286</w:t>
            </w:r>
            <w:r w:rsidR="0074376F"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74376F">
              <w:rPr>
                <w:rFonts w:ascii="Times New Roman" w:hAnsi="Times New Roman" w:cs="Times New Roman"/>
                <w:sz w:val="24"/>
                <w:szCs w:val="24"/>
              </w:rPr>
              <w:t>71286</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1E60ED71"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74376F">
        <w:rPr>
          <w:rFonts w:ascii="Times New Roman" w:hAnsi="Times New Roman" w:cs="Times New Roman"/>
          <w:sz w:val="24"/>
          <w:szCs w:val="24"/>
        </w:rPr>
        <w:t>5</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74376F">
        <w:rPr>
          <w:i/>
          <w:iCs/>
        </w:rPr>
        <w:t>KEGO</w:t>
      </w:r>
      <w:r w:rsidR="00356C86" w:rsidRPr="00356C86">
        <w:rPr>
          <w:rFonts w:ascii="Times New Roman" w:hAnsi="Times New Roman" w:cs="Times New Roman"/>
          <w:i/>
          <w:iCs/>
          <w:sz w:val="24"/>
          <w:szCs w:val="24"/>
        </w:rPr>
        <w:t xml:space="preserve">” </w:t>
      </w:r>
      <w:r w:rsidR="0074376F">
        <w:rPr>
          <w:rFonts w:ascii="Times New Roman" w:hAnsi="Times New Roman" w:cs="Times New Roman"/>
          <w:i/>
          <w:iCs/>
          <w:sz w:val="24"/>
          <w:szCs w:val="24"/>
        </w:rPr>
        <w:t>71286</w:t>
      </w:r>
      <w:r w:rsidR="0074376F">
        <w:rPr>
          <w:rFonts w:ascii="Times New Roman" w:hAnsi="Times New Roman" w:cs="Times New Roman"/>
          <w:i/>
          <w:iCs/>
          <w:sz w:val="24"/>
          <w:szCs w:val="24"/>
        </w:rPr>
        <w:t xml:space="preserve"> </w:t>
      </w:r>
      <w:r w:rsidR="0074376F"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74376F">
        <w:rPr>
          <w:rFonts w:ascii="Times New Roman" w:hAnsi="Times New Roman" w:cs="Times New Roman"/>
          <w:i/>
          <w:iCs/>
          <w:sz w:val="24"/>
          <w:szCs w:val="24"/>
        </w:rPr>
        <w:t>71286</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9B1"/>
    <w:rsid w:val="000C1D9A"/>
    <w:rsid w:val="000C7A27"/>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7699"/>
    <w:rsid w:val="004A37AD"/>
    <w:rsid w:val="004F3C7A"/>
    <w:rsid w:val="0050713F"/>
    <w:rsid w:val="0051700B"/>
    <w:rsid w:val="00533C3F"/>
    <w:rsid w:val="005645B3"/>
    <w:rsid w:val="0057141E"/>
    <w:rsid w:val="00593D18"/>
    <w:rsid w:val="005B18DA"/>
    <w:rsid w:val="005E6E84"/>
    <w:rsid w:val="00616036"/>
    <w:rsid w:val="006169DF"/>
    <w:rsid w:val="00616CE9"/>
    <w:rsid w:val="00620DED"/>
    <w:rsid w:val="00630DD1"/>
    <w:rsid w:val="00635E36"/>
    <w:rsid w:val="00650F4E"/>
    <w:rsid w:val="006569BA"/>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376F"/>
    <w:rsid w:val="00746485"/>
    <w:rsid w:val="00764616"/>
    <w:rsid w:val="00770341"/>
    <w:rsid w:val="00780D33"/>
    <w:rsid w:val="0078735A"/>
    <w:rsid w:val="007B3A38"/>
    <w:rsid w:val="007B73B9"/>
    <w:rsid w:val="007D0002"/>
    <w:rsid w:val="007E7C58"/>
    <w:rsid w:val="00816B70"/>
    <w:rsid w:val="0082298B"/>
    <w:rsid w:val="00822DB4"/>
    <w:rsid w:val="00827792"/>
    <w:rsid w:val="00843869"/>
    <w:rsid w:val="00851219"/>
    <w:rsid w:val="008A3C30"/>
    <w:rsid w:val="008B30E9"/>
    <w:rsid w:val="008B3C8D"/>
    <w:rsid w:val="008B5673"/>
    <w:rsid w:val="008B6BC4"/>
    <w:rsid w:val="008C5FBA"/>
    <w:rsid w:val="008D10FC"/>
    <w:rsid w:val="008E187F"/>
    <w:rsid w:val="008E269F"/>
    <w:rsid w:val="008F0B6E"/>
    <w:rsid w:val="0091348A"/>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43BA"/>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9577D"/>
    <w:rsid w:val="00CA7CDD"/>
    <w:rsid w:val="00CB0A2F"/>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F755A"/>
    <w:rsid w:val="00F02125"/>
    <w:rsid w:val="00F16F47"/>
    <w:rsid w:val="00F21825"/>
    <w:rsid w:val="00F23228"/>
    <w:rsid w:val="00F24C72"/>
    <w:rsid w:val="00F44E52"/>
    <w:rsid w:val="00F62B16"/>
    <w:rsid w:val="00F71848"/>
    <w:rsid w:val="00F72351"/>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5652</Words>
  <Characters>3222</Characters>
  <Application>Microsoft Office Word</Application>
  <DocSecurity>0</DocSecurity>
  <Lines>26</Lines>
  <Paragraphs>17</Paragraphs>
  <ScaleCrop>false</ScaleCrop>
  <Company>VAS Valsts nekustamie ipasumi</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6</cp:revision>
  <dcterms:created xsi:type="dcterms:W3CDTF">2026-05-26T11:59:00Z</dcterms:created>
  <dcterms:modified xsi:type="dcterms:W3CDTF">2026-05-26T12:33:00Z</dcterms:modified>
</cp:coreProperties>
</file>